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69" w:rsidRDefault="00630669" w:rsidP="00FC1EA2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</w:p>
    <w:p w:rsidR="00C57AC5" w:rsidRDefault="00C57AC5" w:rsidP="00FC1EA2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C57AC5" w:rsidRDefault="00C57AC5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630669" w:rsidRDefault="00630669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630669" w:rsidRDefault="00630669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E15C3C" w:rsidRDefault="00E15C3C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C57AC5" w:rsidRDefault="007C69C4" w:rsidP="00FC1EA2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  <w:rPr>
          <w:b/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  <w:t xml:space="preserve">Farblose, wasseremulgierte </w:t>
      </w:r>
      <w:r w:rsidR="00C57AC5">
        <w:rPr>
          <w:b/>
          <w:sz w:val="22"/>
        </w:rPr>
        <w:t xml:space="preserve">Epoxidharzimprägnierung </w:t>
      </w:r>
    </w:p>
    <w:p w:rsidR="00C57AC5" w:rsidRDefault="00C57AC5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  <w:r>
        <w:rPr>
          <w:b/>
          <w:sz w:val="22"/>
        </w:rPr>
        <w:tab/>
      </w:r>
      <w:r w:rsidR="007C69C4">
        <w:rPr>
          <w:b/>
          <w:sz w:val="22"/>
        </w:rPr>
        <w:t>mit</w:t>
      </w:r>
      <w:r>
        <w:rPr>
          <w:b/>
          <w:sz w:val="22"/>
        </w:rPr>
        <w:t xml:space="preserve"> </w:t>
      </w:r>
      <w:r w:rsidR="00F26EEA">
        <w:rPr>
          <w:b/>
          <w:sz w:val="22"/>
        </w:rPr>
        <w:t>R</w:t>
      </w:r>
      <w:r w:rsidR="00630669">
        <w:rPr>
          <w:b/>
          <w:sz w:val="22"/>
        </w:rPr>
        <w:t>HONASTON</w:t>
      </w:r>
      <w:r w:rsidR="00630669" w:rsidRPr="00A33557">
        <w:rPr>
          <w:rFonts w:cs="Arial"/>
          <w:b/>
          <w:sz w:val="22"/>
          <w:szCs w:val="22"/>
          <w:vertAlign w:val="superscript"/>
        </w:rPr>
        <w:t>®</w:t>
      </w:r>
      <w:r>
        <w:rPr>
          <w:b/>
          <w:sz w:val="22"/>
        </w:rPr>
        <w:t xml:space="preserve"> TI-W</w:t>
      </w:r>
      <w:r w:rsidR="00064C41">
        <w:rPr>
          <w:b/>
          <w:sz w:val="22"/>
        </w:rPr>
        <w:t xml:space="preserve"> </w:t>
      </w:r>
    </w:p>
    <w:p w:rsidR="00E15C3C" w:rsidRDefault="00E15C3C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b/>
          <w:sz w:val="22"/>
        </w:rPr>
      </w:pPr>
    </w:p>
    <w:p w:rsidR="00E15C3C" w:rsidRDefault="00E15C3C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b/>
          <w:sz w:val="22"/>
        </w:rPr>
      </w:pPr>
    </w:p>
    <w:p w:rsidR="00E15C3C" w:rsidRDefault="00E15C3C" w:rsidP="00E15C3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unseren LV enthaltenen Angaben sind aufgrund unserer Erfahrung nach bestem Wissen erstellt. Die Angaben erfolgen o</w:t>
      </w:r>
      <w:r w:rsidRPr="00700DA1">
        <w:rPr>
          <w:rFonts w:cs="Arial"/>
          <w:sz w:val="22"/>
          <w:szCs w:val="22"/>
        </w:rPr>
        <w:t>h</w:t>
      </w:r>
      <w:r w:rsidRPr="00700DA1">
        <w:rPr>
          <w:rFonts w:cs="Arial"/>
          <w:sz w:val="22"/>
          <w:szCs w:val="22"/>
        </w:rPr>
        <w:t>ne Gewähr. Die aufgeführten Texte sind lediglich Vorschläge für Ausschreibung und ersetzen nicht die planerische 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Arbeitsfolgen können nicht bei jedem individuellen Bauvo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haben zur Anwendung kommen. Der Einsatz der Produkte muss grundsätzlich auf die örtlichen und technischen Gegebenheiten des Einze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falls abgestimmt werden.</w:t>
      </w:r>
    </w:p>
    <w:p w:rsidR="00E15C3C" w:rsidRDefault="00E15C3C" w:rsidP="00E15C3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E15C3C" w:rsidRDefault="00E15C3C" w:rsidP="00E15C3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E15C3C" w:rsidRDefault="00E15C3C" w:rsidP="00E15C3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>entsprechend dem j</w:t>
      </w:r>
      <w:r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56476A" w:rsidRDefault="007A493C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sz w:val="22"/>
        </w:rPr>
      </w:pPr>
      <w:r>
        <w:rPr>
          <w:sz w:val="22"/>
        </w:rPr>
        <w:br/>
      </w:r>
      <w:r w:rsidR="00C57AC5">
        <w:rPr>
          <w:sz w:val="22"/>
        </w:rPr>
        <w:t>Für die Verarbeitung gelten alle Vorschriften und Hin</w:t>
      </w:r>
      <w:r w:rsidR="00EB1879">
        <w:rPr>
          <w:sz w:val="22"/>
        </w:rPr>
        <w:t xml:space="preserve">weise der BEB-Arbeitsblätter: </w:t>
      </w:r>
      <w:r>
        <w:rPr>
          <w:sz w:val="22"/>
        </w:rPr>
        <w:br/>
        <w:t xml:space="preserve">- </w:t>
      </w:r>
      <w:r w:rsidR="00EB1879">
        <w:rPr>
          <w:sz w:val="22"/>
        </w:rPr>
        <w:t xml:space="preserve">KH-O/S </w:t>
      </w:r>
      <w:r>
        <w:rPr>
          <w:sz w:val="22"/>
        </w:rPr>
        <w:tab/>
        <w:t>(Stoffe)</w:t>
      </w:r>
      <w:r>
        <w:rPr>
          <w:sz w:val="22"/>
        </w:rPr>
        <w:br/>
        <w:t xml:space="preserve">- </w:t>
      </w:r>
      <w:r w:rsidR="00EB1879">
        <w:rPr>
          <w:sz w:val="22"/>
        </w:rPr>
        <w:t xml:space="preserve">KH-O/U </w:t>
      </w:r>
      <w:r>
        <w:rPr>
          <w:sz w:val="22"/>
        </w:rPr>
        <w:tab/>
        <w:t>(Untergrund)</w:t>
      </w:r>
      <w:r>
        <w:rPr>
          <w:sz w:val="22"/>
        </w:rPr>
        <w:br/>
        <w:t xml:space="preserve">- </w:t>
      </w:r>
      <w:r w:rsidR="00EB1879">
        <w:rPr>
          <w:sz w:val="22"/>
        </w:rPr>
        <w:t xml:space="preserve">KH-1 </w:t>
      </w:r>
      <w:r>
        <w:rPr>
          <w:sz w:val="22"/>
        </w:rPr>
        <w:tab/>
      </w:r>
      <w:r w:rsidR="00C57AC5">
        <w:rPr>
          <w:sz w:val="22"/>
        </w:rPr>
        <w:t>(Impräg</w:t>
      </w:r>
      <w:r>
        <w:rPr>
          <w:sz w:val="22"/>
        </w:rPr>
        <w:t>nierungen)</w:t>
      </w:r>
      <w:r>
        <w:rPr>
          <w:sz w:val="22"/>
        </w:rPr>
        <w:br/>
        <w:t xml:space="preserve">- </w:t>
      </w:r>
      <w:r w:rsidR="00EB1879">
        <w:rPr>
          <w:sz w:val="22"/>
        </w:rPr>
        <w:t xml:space="preserve">KH-6 </w:t>
      </w:r>
      <w:r>
        <w:rPr>
          <w:sz w:val="22"/>
        </w:rPr>
        <w:tab/>
      </w:r>
      <w:r w:rsidR="00C57AC5">
        <w:rPr>
          <w:sz w:val="22"/>
        </w:rPr>
        <w:t>(Schutzmaßna</w:t>
      </w:r>
      <w:r w:rsidR="00C57AC5">
        <w:rPr>
          <w:sz w:val="22"/>
        </w:rPr>
        <w:t>h</w:t>
      </w:r>
      <w:r w:rsidR="00C57AC5">
        <w:rPr>
          <w:sz w:val="22"/>
        </w:rPr>
        <w:t>men)</w:t>
      </w:r>
      <w:r w:rsidR="00EB1879">
        <w:rPr>
          <w:sz w:val="22"/>
        </w:rPr>
        <w:t>.</w:t>
      </w:r>
      <w:r w:rsidR="00EB1879">
        <w:rPr>
          <w:sz w:val="22"/>
        </w:rPr>
        <w:br/>
      </w:r>
      <w:r w:rsidR="00C57AC5">
        <w:rPr>
          <w:sz w:val="22"/>
        </w:rPr>
        <w:br/>
        <w:t>Darüber hinaus müssen stets die einschlägigen Verordnungen, U</w:t>
      </w:r>
      <w:r w:rsidR="00C57AC5">
        <w:rPr>
          <w:sz w:val="22"/>
        </w:rPr>
        <w:t>n</w:t>
      </w:r>
      <w:r w:rsidR="00C57AC5">
        <w:rPr>
          <w:sz w:val="22"/>
        </w:rPr>
        <w:t>fallverhütungsvorschriften sowie Merkblätter und Richtlinien der chemischen Berufsgenossenschaft beachtet werden.</w:t>
      </w:r>
    </w:p>
    <w:p w:rsidR="00AB231D" w:rsidRDefault="00AB231D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sz w:val="22"/>
        </w:rPr>
      </w:pPr>
    </w:p>
    <w:p w:rsidR="00E15C3C" w:rsidRPr="0056476A" w:rsidRDefault="00E15C3C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b/>
          <w:sz w:val="22"/>
        </w:rPr>
      </w:pPr>
    </w:p>
    <w:p w:rsidR="0056476A" w:rsidRDefault="0056476A" w:rsidP="004D4698">
      <w:pPr>
        <w:tabs>
          <w:tab w:val="left" w:pos="3686"/>
          <w:tab w:val="left" w:pos="5670"/>
          <w:tab w:val="left" w:pos="7371"/>
        </w:tabs>
        <w:spacing w:after="80"/>
        <w:ind w:left="3686" w:hanging="3686"/>
        <w:rPr>
          <w:sz w:val="22"/>
        </w:rPr>
      </w:pPr>
      <w:r>
        <w:rPr>
          <w:b/>
          <w:sz w:val="22"/>
        </w:rPr>
        <w:t>Untergrund</w:t>
      </w:r>
      <w:r>
        <w:rPr>
          <w:sz w:val="22"/>
        </w:rPr>
        <w:t>:</w:t>
      </w:r>
      <w:r w:rsidR="00C57AC5">
        <w:rPr>
          <w:sz w:val="22"/>
        </w:rPr>
        <w:tab/>
        <w:t>Der Untergrund mu</w:t>
      </w:r>
      <w:r w:rsidR="009E7648">
        <w:rPr>
          <w:sz w:val="22"/>
        </w:rPr>
        <w:t>ss</w:t>
      </w:r>
      <w:r w:rsidR="00C57AC5">
        <w:rPr>
          <w:sz w:val="22"/>
        </w:rPr>
        <w:t xml:space="preserve"> den statischen und konstruktiven Anford</w:t>
      </w:r>
      <w:r w:rsidR="00C57AC5">
        <w:rPr>
          <w:sz w:val="22"/>
        </w:rPr>
        <w:t>e</w:t>
      </w:r>
      <w:r w:rsidR="00C57AC5">
        <w:rPr>
          <w:sz w:val="22"/>
        </w:rPr>
        <w:t>rungen entsprechen. Er mu</w:t>
      </w:r>
      <w:r w:rsidR="009E7648">
        <w:rPr>
          <w:sz w:val="22"/>
        </w:rPr>
        <w:t>ss</w:t>
      </w:r>
      <w:r w:rsidR="00C57AC5">
        <w:rPr>
          <w:sz w:val="22"/>
        </w:rPr>
        <w:t xml:space="preserve"> für die zu erwartende Beanspr</w:t>
      </w:r>
      <w:r w:rsidR="00C57AC5">
        <w:rPr>
          <w:sz w:val="22"/>
        </w:rPr>
        <w:t>u</w:t>
      </w:r>
      <w:r w:rsidR="00C57AC5">
        <w:rPr>
          <w:sz w:val="22"/>
        </w:rPr>
        <w:t>chung ausreichende Festigkeit, insbesondere gute Oberflächenfe</w:t>
      </w:r>
      <w:r w:rsidR="00C57AC5">
        <w:rPr>
          <w:sz w:val="22"/>
        </w:rPr>
        <w:t>s</w:t>
      </w:r>
      <w:r w:rsidR="00C57AC5">
        <w:rPr>
          <w:sz w:val="22"/>
        </w:rPr>
        <w:t>tigkeit, aufweisen</w:t>
      </w:r>
      <w:r w:rsidR="00B44228">
        <w:rPr>
          <w:sz w:val="22"/>
        </w:rPr>
        <w:t>.</w:t>
      </w:r>
      <w:r w:rsidR="00C57AC5">
        <w:rPr>
          <w:sz w:val="22"/>
        </w:rPr>
        <w:t xml:space="preserve"> </w:t>
      </w:r>
      <w:r w:rsidR="00B44228">
        <w:rPr>
          <w:sz w:val="22"/>
        </w:rPr>
        <w:br/>
      </w:r>
      <w:r w:rsidR="00C57AC5">
        <w:rPr>
          <w:sz w:val="22"/>
        </w:rPr>
        <w:t>(</w:t>
      </w:r>
      <w:r w:rsidR="008438FD">
        <w:rPr>
          <w:sz w:val="22"/>
        </w:rPr>
        <w:t>Oberflächenzugfestigkeit</w:t>
      </w:r>
      <w:r w:rsidR="00C57AC5">
        <w:rPr>
          <w:sz w:val="22"/>
        </w:rPr>
        <w:t xml:space="preserve"> i. M. </w:t>
      </w:r>
      <w:r w:rsidR="001E6595">
        <w:rPr>
          <w:rFonts w:cs="Arial"/>
          <w:sz w:val="22"/>
        </w:rPr>
        <w:t>≥</w:t>
      </w:r>
      <w:r w:rsidR="008438FD">
        <w:rPr>
          <w:sz w:val="22"/>
        </w:rPr>
        <w:t xml:space="preserve"> </w:t>
      </w:r>
      <w:r w:rsidR="00C57AC5">
        <w:rPr>
          <w:sz w:val="22"/>
        </w:rPr>
        <w:t>1,5 N/mm²)</w:t>
      </w:r>
      <w:r w:rsidR="007A493C">
        <w:rPr>
          <w:sz w:val="22"/>
        </w:rPr>
        <w:br/>
      </w:r>
    </w:p>
    <w:p w:rsidR="00AB231D" w:rsidRDefault="00AB231D" w:rsidP="004D4698">
      <w:pPr>
        <w:tabs>
          <w:tab w:val="left" w:pos="3686"/>
          <w:tab w:val="left" w:pos="5670"/>
          <w:tab w:val="left" w:pos="7371"/>
        </w:tabs>
        <w:spacing w:after="80"/>
        <w:ind w:left="3686" w:hanging="3686"/>
        <w:rPr>
          <w:sz w:val="22"/>
        </w:rPr>
      </w:pPr>
    </w:p>
    <w:p w:rsidR="00AB231D" w:rsidRPr="00AB231D" w:rsidRDefault="00C57AC5" w:rsidP="00AB231D">
      <w:pPr>
        <w:tabs>
          <w:tab w:val="left" w:pos="3686"/>
        </w:tabs>
        <w:rPr>
          <w:sz w:val="22"/>
          <w:szCs w:val="22"/>
        </w:rPr>
      </w:pPr>
      <w:r w:rsidRPr="00AB231D">
        <w:rPr>
          <w:b/>
          <w:sz w:val="22"/>
          <w:szCs w:val="22"/>
        </w:rPr>
        <w:lastRenderedPageBreak/>
        <w:t>Untergrundvorbereitung:</w:t>
      </w:r>
      <w:r w:rsidR="00AB231D">
        <w:rPr>
          <w:b/>
          <w:sz w:val="22"/>
          <w:szCs w:val="22"/>
        </w:rPr>
        <w:tab/>
      </w:r>
      <w:r w:rsidRPr="00AB231D">
        <w:rPr>
          <w:sz w:val="22"/>
          <w:szCs w:val="22"/>
        </w:rPr>
        <w:t xml:space="preserve">Mechanische Vorbereitung des Untergrundes durch intensive </w:t>
      </w:r>
      <w:r w:rsidR="00AB231D">
        <w:rPr>
          <w:sz w:val="22"/>
          <w:szCs w:val="22"/>
        </w:rPr>
        <w:tab/>
      </w:r>
      <w:r w:rsidRPr="00AB231D">
        <w:rPr>
          <w:sz w:val="22"/>
          <w:szCs w:val="22"/>
        </w:rPr>
        <w:t>B</w:t>
      </w:r>
      <w:r w:rsidRPr="00AB231D">
        <w:rPr>
          <w:sz w:val="22"/>
          <w:szCs w:val="22"/>
        </w:rPr>
        <w:t>e</w:t>
      </w:r>
      <w:r w:rsidR="00F16328" w:rsidRPr="00AB231D">
        <w:rPr>
          <w:sz w:val="22"/>
          <w:szCs w:val="22"/>
        </w:rPr>
        <w:t>arbeitung mit</w:t>
      </w:r>
      <w:r w:rsidRPr="00AB231D">
        <w:rPr>
          <w:sz w:val="22"/>
          <w:szCs w:val="22"/>
        </w:rPr>
        <w:t xml:space="preserve"> Tellerschleifmaschine mit geeignetem Schleif- </w:t>
      </w:r>
      <w:r w:rsidR="00AB231D">
        <w:rPr>
          <w:sz w:val="22"/>
          <w:szCs w:val="22"/>
        </w:rPr>
        <w:tab/>
      </w:r>
      <w:r w:rsidRPr="00AB231D">
        <w:rPr>
          <w:sz w:val="22"/>
          <w:szCs w:val="22"/>
        </w:rPr>
        <w:t>bzw. Bürstwerkzeug.</w:t>
      </w:r>
      <w:r w:rsidR="00F16328" w:rsidRPr="00AB231D">
        <w:rPr>
          <w:sz w:val="22"/>
          <w:szCs w:val="22"/>
        </w:rPr>
        <w:t xml:space="preserve"> </w:t>
      </w:r>
      <w:r w:rsidRPr="00AB231D">
        <w:rPr>
          <w:sz w:val="22"/>
          <w:szCs w:val="22"/>
        </w:rPr>
        <w:t xml:space="preserve">Trockenreinigung/Entstaubung mit </w:t>
      </w:r>
      <w:r w:rsidR="00AB231D">
        <w:rPr>
          <w:sz w:val="22"/>
          <w:szCs w:val="22"/>
        </w:rPr>
        <w:tab/>
      </w:r>
      <w:r w:rsidRPr="00AB231D">
        <w:rPr>
          <w:sz w:val="22"/>
          <w:szCs w:val="22"/>
        </w:rPr>
        <w:t>leistungsfähigen Industriestaubsaugern.</w:t>
      </w:r>
      <w:r w:rsidR="0056476A" w:rsidRPr="00AB231D">
        <w:rPr>
          <w:sz w:val="22"/>
          <w:szCs w:val="22"/>
        </w:rPr>
        <w:t xml:space="preserve"> </w:t>
      </w:r>
    </w:p>
    <w:p w:rsidR="00AB231D" w:rsidRPr="00AB231D" w:rsidRDefault="00AB231D" w:rsidP="00AB231D">
      <w:pPr>
        <w:tabs>
          <w:tab w:val="left" w:pos="3686"/>
        </w:tabs>
        <w:rPr>
          <w:sz w:val="22"/>
          <w:szCs w:val="22"/>
        </w:rPr>
      </w:pPr>
    </w:p>
    <w:p w:rsidR="0056476A" w:rsidRPr="00AB231D" w:rsidRDefault="00C57AC5" w:rsidP="00AB231D">
      <w:pPr>
        <w:tabs>
          <w:tab w:val="left" w:pos="3686"/>
        </w:tabs>
        <w:rPr>
          <w:sz w:val="22"/>
          <w:szCs w:val="22"/>
        </w:rPr>
      </w:pPr>
      <w:r w:rsidRPr="00AB231D">
        <w:rPr>
          <w:sz w:val="22"/>
          <w:szCs w:val="22"/>
        </w:rPr>
        <w:tab/>
        <w:t>.................. m²</w:t>
      </w:r>
      <w:r w:rsidRPr="00AB231D">
        <w:rPr>
          <w:sz w:val="22"/>
          <w:szCs w:val="22"/>
        </w:rPr>
        <w:tab/>
        <w:t>Einzel ..................</w:t>
      </w:r>
      <w:r w:rsidRPr="00AB231D">
        <w:rPr>
          <w:sz w:val="22"/>
          <w:szCs w:val="22"/>
        </w:rPr>
        <w:tab/>
        <w:t>Gesamt: ..................</w:t>
      </w:r>
      <w:r w:rsidR="007A493C" w:rsidRPr="00AB231D">
        <w:rPr>
          <w:sz w:val="22"/>
          <w:szCs w:val="22"/>
        </w:rPr>
        <w:br/>
      </w:r>
    </w:p>
    <w:p w:rsidR="00AB231D" w:rsidRPr="00AB231D" w:rsidRDefault="00AB231D" w:rsidP="00AB231D">
      <w:pPr>
        <w:tabs>
          <w:tab w:val="left" w:pos="3686"/>
        </w:tabs>
      </w:pPr>
    </w:p>
    <w:p w:rsidR="0056476A" w:rsidRDefault="00C57AC5" w:rsidP="004D4698">
      <w:pPr>
        <w:tabs>
          <w:tab w:val="left" w:pos="3686"/>
          <w:tab w:val="left" w:pos="5670"/>
          <w:tab w:val="left" w:pos="6804"/>
          <w:tab w:val="left" w:pos="7938"/>
        </w:tabs>
        <w:spacing w:after="80"/>
        <w:ind w:left="3686" w:hanging="3686"/>
        <w:rPr>
          <w:sz w:val="22"/>
        </w:rPr>
      </w:pPr>
      <w:r>
        <w:rPr>
          <w:b/>
          <w:sz w:val="22"/>
        </w:rPr>
        <w:t>Hinweis</w:t>
      </w:r>
      <w:r w:rsidR="00064C41">
        <w:rPr>
          <w:sz w:val="22"/>
        </w:rPr>
        <w:t>:</w:t>
      </w:r>
      <w:r w:rsidR="00064C41">
        <w:rPr>
          <w:sz w:val="22"/>
        </w:rPr>
        <w:tab/>
        <w:t>Der Untergrund muss</w:t>
      </w:r>
      <w:r>
        <w:rPr>
          <w:sz w:val="22"/>
        </w:rPr>
        <w:t xml:space="preserve"> fest, sauber, saugfähig (offenporig) und frei von Rissen, ablösbaren Bestandteilen und Verschmutzungen jegl</w:t>
      </w:r>
      <w:r>
        <w:rPr>
          <w:sz w:val="22"/>
        </w:rPr>
        <w:t>i</w:t>
      </w:r>
      <w:r>
        <w:rPr>
          <w:sz w:val="22"/>
        </w:rPr>
        <w:t>cher Art sein!</w:t>
      </w:r>
      <w:r w:rsidR="007A493C">
        <w:rPr>
          <w:sz w:val="22"/>
        </w:rPr>
        <w:br/>
      </w:r>
    </w:p>
    <w:p w:rsidR="00E15C3C" w:rsidRDefault="00E15C3C" w:rsidP="004D4698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b/>
          <w:sz w:val="22"/>
        </w:rPr>
      </w:pPr>
    </w:p>
    <w:p w:rsidR="0056476A" w:rsidRDefault="00C57AC5" w:rsidP="004D4698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sz w:val="22"/>
        </w:rPr>
      </w:pPr>
      <w:r>
        <w:rPr>
          <w:b/>
          <w:sz w:val="22"/>
        </w:rPr>
        <w:t>Untergrundüberprüfung</w:t>
      </w:r>
      <w:r>
        <w:rPr>
          <w:sz w:val="22"/>
        </w:rPr>
        <w:t>:</w:t>
      </w:r>
      <w:r>
        <w:rPr>
          <w:sz w:val="22"/>
        </w:rPr>
        <w:tab/>
        <w:t>Die ordnungsgemäße Untergrundbeschaffenheit ist vor Verlegebeginn vom Auftra</w:t>
      </w:r>
      <w:r>
        <w:rPr>
          <w:sz w:val="22"/>
        </w:rPr>
        <w:t>g</w:t>
      </w:r>
      <w:r>
        <w:rPr>
          <w:sz w:val="22"/>
        </w:rPr>
        <w:t>nehmer zu überprüfen.</w:t>
      </w:r>
    </w:p>
    <w:p w:rsidR="00AB231D" w:rsidRDefault="00AB231D" w:rsidP="004D4698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sz w:val="22"/>
        </w:rPr>
      </w:pPr>
    </w:p>
    <w:p w:rsidR="00E15C3C" w:rsidRDefault="00E15C3C" w:rsidP="007A493C">
      <w:pPr>
        <w:tabs>
          <w:tab w:val="left" w:pos="3686"/>
          <w:tab w:val="left" w:pos="5670"/>
          <w:tab w:val="left" w:pos="7938"/>
        </w:tabs>
        <w:spacing w:after="180"/>
        <w:ind w:left="3690" w:hanging="3690"/>
        <w:rPr>
          <w:b/>
          <w:sz w:val="22"/>
        </w:rPr>
      </w:pPr>
    </w:p>
    <w:p w:rsidR="0056476A" w:rsidRPr="00F33DB9" w:rsidRDefault="00C57AC5" w:rsidP="00F33DB9">
      <w:pPr>
        <w:tabs>
          <w:tab w:val="left" w:pos="3686"/>
          <w:tab w:val="left" w:pos="5670"/>
          <w:tab w:val="left" w:pos="7938"/>
        </w:tabs>
        <w:spacing w:after="180"/>
        <w:ind w:left="3690" w:hanging="3690"/>
        <w:rPr>
          <w:sz w:val="22"/>
        </w:rPr>
      </w:pPr>
      <w:r>
        <w:rPr>
          <w:b/>
          <w:sz w:val="22"/>
        </w:rPr>
        <w:t>Imprägnierung:</w:t>
      </w:r>
      <w:r>
        <w:rPr>
          <w:sz w:val="22"/>
        </w:rPr>
        <w:tab/>
        <w:t>Poren</w:t>
      </w:r>
      <w:r w:rsidR="0049456B">
        <w:rPr>
          <w:sz w:val="22"/>
        </w:rPr>
        <w:t>füllen</w:t>
      </w:r>
      <w:r>
        <w:rPr>
          <w:sz w:val="22"/>
        </w:rPr>
        <w:t xml:space="preserve">de Imprägnierung der Oberfläche mit farblosem, wasseremulgiertem Epoxidharz </w:t>
      </w:r>
      <w:hyperlink r:id="rId6" w:history="1">
        <w:r w:rsidR="00630669" w:rsidRPr="009052CF">
          <w:rPr>
            <w:rStyle w:val="Hyperlink"/>
            <w:b/>
            <w:sz w:val="22"/>
          </w:rPr>
          <w:t>RHONA</w:t>
        </w:r>
        <w:bookmarkStart w:id="0" w:name="_GoBack"/>
        <w:bookmarkEnd w:id="0"/>
        <w:r w:rsidR="00630669" w:rsidRPr="009052CF">
          <w:rPr>
            <w:rStyle w:val="Hyperlink"/>
            <w:b/>
            <w:sz w:val="22"/>
          </w:rPr>
          <w:t>STON</w:t>
        </w:r>
        <w:r w:rsidR="00630669" w:rsidRPr="009052CF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F26EEA" w:rsidRPr="009052CF">
          <w:rPr>
            <w:rStyle w:val="Hyperlink"/>
            <w:b/>
            <w:sz w:val="22"/>
          </w:rPr>
          <w:t xml:space="preserve"> </w:t>
        </w:r>
        <w:r w:rsidRPr="009052CF">
          <w:rPr>
            <w:rStyle w:val="Hyperlink"/>
            <w:b/>
            <w:sz w:val="22"/>
          </w:rPr>
          <w:t>TI-W</w:t>
        </w:r>
      </w:hyperlink>
      <w:r w:rsidR="0056476A">
        <w:rPr>
          <w:sz w:val="22"/>
        </w:rPr>
        <w:t xml:space="preserve"> in zwei</w:t>
      </w:r>
      <w:r w:rsidR="0056476A" w:rsidRPr="0056476A">
        <w:rPr>
          <w:sz w:val="22"/>
        </w:rPr>
        <w:t xml:space="preserve"> Arbeit</w:t>
      </w:r>
      <w:r w:rsidR="0056476A" w:rsidRPr="0056476A">
        <w:rPr>
          <w:sz w:val="22"/>
        </w:rPr>
        <w:t>s</w:t>
      </w:r>
      <w:r w:rsidR="0056476A" w:rsidRPr="0056476A">
        <w:rPr>
          <w:sz w:val="22"/>
        </w:rPr>
        <w:t>gängen</w:t>
      </w:r>
      <w:r w:rsidR="00630669">
        <w:rPr>
          <w:sz w:val="22"/>
        </w:rPr>
        <w:t>.</w:t>
      </w:r>
      <w:r w:rsidR="0056476A">
        <w:rPr>
          <w:b/>
          <w:sz w:val="22"/>
        </w:rPr>
        <w:t xml:space="preserve"> </w:t>
      </w:r>
      <w:r w:rsidR="00F26EEA">
        <w:rPr>
          <w:sz w:val="22"/>
        </w:rPr>
        <w:t>R</w:t>
      </w:r>
      <w:r w:rsidR="001542A0">
        <w:rPr>
          <w:sz w:val="22"/>
        </w:rPr>
        <w:t>HONASTON</w:t>
      </w:r>
      <w:r w:rsidR="00630669" w:rsidRPr="00A33557">
        <w:rPr>
          <w:rFonts w:cs="Arial"/>
          <w:b/>
          <w:sz w:val="22"/>
          <w:szCs w:val="22"/>
          <w:vertAlign w:val="superscript"/>
        </w:rPr>
        <w:t>®</w:t>
      </w:r>
      <w:r>
        <w:rPr>
          <w:sz w:val="22"/>
        </w:rPr>
        <w:t xml:space="preserve"> TI-W (Konzentrat) hierfür im Verhältnis 1</w:t>
      </w:r>
      <w:r w:rsidR="0056476A">
        <w:rPr>
          <w:sz w:val="22"/>
        </w:rPr>
        <w:t xml:space="preserve"> </w:t>
      </w:r>
      <w:r>
        <w:rPr>
          <w:sz w:val="22"/>
        </w:rPr>
        <w:t>:</w:t>
      </w:r>
      <w:r w:rsidR="0056476A">
        <w:rPr>
          <w:sz w:val="22"/>
        </w:rPr>
        <w:t xml:space="preserve"> </w:t>
      </w:r>
      <w:r w:rsidR="004D4698">
        <w:rPr>
          <w:sz w:val="22"/>
        </w:rPr>
        <w:t xml:space="preserve">1 mit Wasser verdünnen! </w:t>
      </w:r>
      <w:r>
        <w:rPr>
          <w:sz w:val="22"/>
        </w:rPr>
        <w:t xml:space="preserve">Auftrag mit </w:t>
      </w:r>
      <w:r w:rsidR="0056476A">
        <w:rPr>
          <w:sz w:val="22"/>
        </w:rPr>
        <w:t>rotierender Bürstmaschine</w:t>
      </w:r>
      <w:r w:rsidR="00225BE3">
        <w:rPr>
          <w:sz w:val="22"/>
        </w:rPr>
        <w:t xml:space="preserve"> und/oder</w:t>
      </w:r>
      <w:r w:rsidR="0056476A">
        <w:rPr>
          <w:sz w:val="22"/>
        </w:rPr>
        <w:t xml:space="preserve"> </w:t>
      </w:r>
      <w:r>
        <w:rPr>
          <w:sz w:val="22"/>
        </w:rPr>
        <w:t>Farbroller jeweils dünn im Kreuzgang (Abstreifgitter verwenden!), Materialüberschu</w:t>
      </w:r>
      <w:r w:rsidR="009E7648">
        <w:rPr>
          <w:sz w:val="22"/>
        </w:rPr>
        <w:t>ss</w:t>
      </w:r>
      <w:r>
        <w:rPr>
          <w:sz w:val="22"/>
        </w:rPr>
        <w:t xml:space="preserve"> ve</w:t>
      </w:r>
      <w:r>
        <w:rPr>
          <w:sz w:val="22"/>
        </w:rPr>
        <w:t>r</w:t>
      </w:r>
      <w:r w:rsidR="0056476A">
        <w:rPr>
          <w:sz w:val="22"/>
        </w:rPr>
        <w:t>meiden!</w:t>
      </w:r>
      <w:r w:rsidR="0056476A">
        <w:rPr>
          <w:sz w:val="22"/>
        </w:rPr>
        <w:br/>
      </w:r>
      <w:r w:rsidR="0056476A">
        <w:rPr>
          <w:sz w:val="22"/>
        </w:rPr>
        <w:br/>
        <w:t>Gesamtv</w:t>
      </w:r>
      <w:r>
        <w:rPr>
          <w:sz w:val="22"/>
        </w:rPr>
        <w:t xml:space="preserve">erbrauch: </w:t>
      </w:r>
      <w:r w:rsidR="00064C41">
        <w:rPr>
          <w:sz w:val="22"/>
        </w:rPr>
        <w:tab/>
        <w:t>ca. 0,10 kg/m²</w:t>
      </w:r>
      <w:r w:rsidR="00064C41" w:rsidRPr="00064C41">
        <w:rPr>
          <w:sz w:val="22"/>
        </w:rPr>
        <w:t xml:space="preserve"> </w:t>
      </w:r>
      <w:r w:rsidR="00064C41">
        <w:rPr>
          <w:sz w:val="22"/>
        </w:rPr>
        <w:t>(</w:t>
      </w:r>
      <w:r>
        <w:rPr>
          <w:sz w:val="22"/>
        </w:rPr>
        <w:t>je nach Saugfähi</w:t>
      </w:r>
      <w:r>
        <w:rPr>
          <w:sz w:val="22"/>
        </w:rPr>
        <w:t>g</w:t>
      </w:r>
      <w:r>
        <w:rPr>
          <w:sz w:val="22"/>
        </w:rPr>
        <w:t>keit/</w:t>
      </w:r>
      <w:r w:rsidR="007A493C">
        <w:rPr>
          <w:sz w:val="22"/>
        </w:rPr>
        <w:t xml:space="preserve"> </w:t>
      </w:r>
      <w:r w:rsidR="007A493C">
        <w:rPr>
          <w:sz w:val="22"/>
        </w:rPr>
        <w:br/>
      </w:r>
      <w:r w:rsidR="007A493C">
        <w:rPr>
          <w:sz w:val="22"/>
        </w:rPr>
        <w:tab/>
      </w:r>
      <w:r>
        <w:rPr>
          <w:sz w:val="22"/>
        </w:rPr>
        <w:t>Porosität des Unte</w:t>
      </w:r>
      <w:r>
        <w:rPr>
          <w:sz w:val="22"/>
        </w:rPr>
        <w:t>r</w:t>
      </w:r>
      <w:r>
        <w:rPr>
          <w:sz w:val="22"/>
        </w:rPr>
        <w:t>grundes</w:t>
      </w:r>
      <w:r w:rsidR="00064C41">
        <w:rPr>
          <w:sz w:val="22"/>
        </w:rPr>
        <w:t>)</w:t>
      </w:r>
    </w:p>
    <w:p w:rsidR="00AB231D" w:rsidRPr="00F33DB9" w:rsidRDefault="00AB231D" w:rsidP="00F33DB9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sz w:val="22"/>
        </w:rPr>
      </w:pPr>
    </w:p>
    <w:p w:rsidR="00C57AC5" w:rsidRDefault="00C57AC5" w:rsidP="00F33DB9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sz w:val="22"/>
        </w:rPr>
      </w:pPr>
      <w:r w:rsidRPr="00F33DB9">
        <w:rPr>
          <w:sz w:val="22"/>
        </w:rPr>
        <w:tab/>
        <w:t>.................. m²</w:t>
      </w:r>
      <w:r w:rsidRPr="00F33DB9">
        <w:rPr>
          <w:sz w:val="22"/>
        </w:rPr>
        <w:tab/>
        <w:t>Einzel ..................</w:t>
      </w:r>
      <w:r w:rsidRPr="00F33DB9">
        <w:rPr>
          <w:sz w:val="22"/>
        </w:rPr>
        <w:tab/>
        <w:t>Gesamt: ..................</w:t>
      </w:r>
    </w:p>
    <w:p w:rsidR="00F33DB9" w:rsidRDefault="00F33DB9" w:rsidP="00F33DB9">
      <w:pPr>
        <w:tabs>
          <w:tab w:val="left" w:pos="3686"/>
          <w:tab w:val="left" w:pos="5670"/>
          <w:tab w:val="left" w:pos="7938"/>
        </w:tabs>
        <w:spacing w:after="80"/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33DB9" w:rsidRDefault="00F33DB9" w:rsidP="00F33DB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 </w:t>
      </w:r>
    </w:p>
    <w:sectPr w:rsidR="00F33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80A" w:rsidRDefault="00A3180A">
      <w:r>
        <w:separator/>
      </w:r>
    </w:p>
  </w:endnote>
  <w:endnote w:type="continuationSeparator" w:id="0">
    <w:p w:rsidR="00A3180A" w:rsidRDefault="00A31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CF" w:rsidRDefault="009052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CF" w:rsidRDefault="009052C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CF" w:rsidRDefault="009052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80A" w:rsidRDefault="00A3180A">
      <w:r>
        <w:separator/>
      </w:r>
    </w:p>
  </w:footnote>
  <w:footnote w:type="continuationSeparator" w:id="0">
    <w:p w:rsidR="00A3180A" w:rsidRDefault="00A31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2CF" w:rsidRDefault="009052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70" w:rsidRDefault="00834F70" w:rsidP="0049456B">
    <w:pPr>
      <w:pStyle w:val="Kopfzeile"/>
      <w:tabs>
        <w:tab w:val="clear" w:pos="4536"/>
        <w:tab w:val="left" w:pos="3686"/>
        <w:tab w:val="left" w:pos="6521"/>
      </w:tabs>
      <w:ind w:left="708" w:hanging="708"/>
      <w:rPr>
        <w:b/>
        <w:sz w:val="22"/>
      </w:rPr>
    </w:pPr>
    <w:r>
      <w:rPr>
        <w:b/>
        <w:sz w:val="22"/>
      </w:rPr>
      <w:t>Bauvorhaben:</w:t>
    </w:r>
  </w:p>
  <w:p w:rsidR="00834F70" w:rsidRDefault="00834F70" w:rsidP="0049456B">
    <w:pPr>
      <w:pStyle w:val="Kopfzeile"/>
      <w:tabs>
        <w:tab w:val="clear" w:pos="4536"/>
        <w:tab w:val="left" w:pos="3686"/>
        <w:tab w:val="left" w:pos="6521"/>
      </w:tabs>
      <w:ind w:left="708" w:hanging="708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 xml:space="preserve">Farblose Epoxidharzimprägnierung </w:t>
    </w:r>
    <w:r>
      <w:rPr>
        <w:b/>
        <w:sz w:val="22"/>
      </w:rPr>
      <w:tab/>
      <w:t>mit RHONASTON</w:t>
    </w:r>
    <w:r w:rsidRPr="00A33557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TI-W</w:t>
    </w:r>
  </w:p>
  <w:p w:rsidR="00834F70" w:rsidRDefault="00834F70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</w:p>
  <w:p w:rsidR="00834F70" w:rsidRDefault="00834F70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9B1621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FC1F5B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F70" w:rsidRDefault="00834F70">
    <w:pPr>
      <w:pStyle w:val="Kopfzeile"/>
      <w:tabs>
        <w:tab w:val="clear" w:pos="4536"/>
        <w:tab w:val="clear" w:pos="9072"/>
        <w:tab w:val="left" w:pos="3686"/>
      </w:tabs>
    </w:pPr>
  </w:p>
  <w:p w:rsidR="00834F70" w:rsidRDefault="00834F70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41"/>
    <w:rsid w:val="00035F99"/>
    <w:rsid w:val="00064C41"/>
    <w:rsid w:val="0007773F"/>
    <w:rsid w:val="001542A0"/>
    <w:rsid w:val="001E6595"/>
    <w:rsid w:val="002018C8"/>
    <w:rsid w:val="002100F2"/>
    <w:rsid w:val="00225BE3"/>
    <w:rsid w:val="00284A56"/>
    <w:rsid w:val="002D182C"/>
    <w:rsid w:val="002D4EDB"/>
    <w:rsid w:val="00390718"/>
    <w:rsid w:val="003E723F"/>
    <w:rsid w:val="00440FE4"/>
    <w:rsid w:val="0049456B"/>
    <w:rsid w:val="004D4698"/>
    <w:rsid w:val="0056476A"/>
    <w:rsid w:val="00630669"/>
    <w:rsid w:val="006C7FF7"/>
    <w:rsid w:val="007262CE"/>
    <w:rsid w:val="0078202B"/>
    <w:rsid w:val="007A493C"/>
    <w:rsid w:val="007C64AA"/>
    <w:rsid w:val="007C69C4"/>
    <w:rsid w:val="008132F5"/>
    <w:rsid w:val="00834F70"/>
    <w:rsid w:val="008438FD"/>
    <w:rsid w:val="008A5469"/>
    <w:rsid w:val="008E25ED"/>
    <w:rsid w:val="009052CF"/>
    <w:rsid w:val="00916904"/>
    <w:rsid w:val="009212BE"/>
    <w:rsid w:val="009B1621"/>
    <w:rsid w:val="009E7648"/>
    <w:rsid w:val="00A3180A"/>
    <w:rsid w:val="00AB231D"/>
    <w:rsid w:val="00B44228"/>
    <w:rsid w:val="00BC5211"/>
    <w:rsid w:val="00C15BFF"/>
    <w:rsid w:val="00C57AC5"/>
    <w:rsid w:val="00C66C90"/>
    <w:rsid w:val="00D56FD6"/>
    <w:rsid w:val="00E15C3C"/>
    <w:rsid w:val="00EB1879"/>
    <w:rsid w:val="00F16328"/>
    <w:rsid w:val="00F16E70"/>
    <w:rsid w:val="00F26EEA"/>
    <w:rsid w:val="00F33DB9"/>
    <w:rsid w:val="00FC1EA2"/>
    <w:rsid w:val="00FC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A02D7EA-F1EB-4E31-B11A-0DFE1359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4D469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C1EA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9052CF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1F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boden-impraegnierung-rhonaston-tiw_pi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2</Pages>
  <Words>422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3079</CharactersWithSpaces>
  <SharedDoc>false</SharedDoc>
  <HyperlinkBase/>
  <HLinks>
    <vt:vector size="6" baseType="variant">
      <vt:variant>
        <vt:i4>5374048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http://www.chemotechnik.de/fileadmin/content/download/produktinformationen/industrieboden-impraegnierung-rhonaston-tiw_pi.pdf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Engelmann, Chris</dc:creator>
  <cp:keywords/>
  <cp:lastModifiedBy>Winterbauer, Klaus</cp:lastModifiedBy>
  <cp:revision>2</cp:revision>
  <cp:lastPrinted>2012-07-31T09:15:00Z</cp:lastPrinted>
  <dcterms:created xsi:type="dcterms:W3CDTF">2023-10-12T11:59:00Z</dcterms:created>
  <dcterms:modified xsi:type="dcterms:W3CDTF">2023-10-12T11:59:00Z</dcterms:modified>
</cp:coreProperties>
</file>